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54955" w14:textId="77777777" w:rsidR="00521088" w:rsidRPr="006B2077" w:rsidRDefault="00521088" w:rsidP="00521088">
      <w:pPr>
        <w:rPr>
          <w:rFonts w:ascii="Arial" w:hAnsi="Arial" w:cs="Arial"/>
          <w:sz w:val="18"/>
          <w:szCs w:val="18"/>
        </w:rPr>
      </w:pPr>
    </w:p>
    <w:p w14:paraId="6D7B23A8" w14:textId="77777777" w:rsidR="009B351B" w:rsidRPr="006B2077" w:rsidRDefault="009B351B" w:rsidP="009B351B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16"/>
      </w:tblGrid>
      <w:tr w:rsidR="006B2077" w:rsidRPr="006B2077" w14:paraId="6BC70572" w14:textId="77777777" w:rsidTr="00D75112">
        <w:trPr>
          <w:cantSplit/>
          <w:trHeight w:val="443"/>
        </w:trPr>
        <w:tc>
          <w:tcPr>
            <w:tcW w:w="942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813E5E2" w14:textId="77777777" w:rsidR="00E75539" w:rsidRPr="006B2077" w:rsidRDefault="00E75539" w:rsidP="00D75112">
            <w:pPr>
              <w:pStyle w:val="Titre1"/>
              <w:jc w:val="left"/>
              <w:rPr>
                <w:rFonts w:cs="Arial"/>
                <w:sz w:val="18"/>
                <w:szCs w:val="18"/>
              </w:rPr>
            </w:pPr>
          </w:p>
          <w:p w14:paraId="4A2C2A97" w14:textId="77777777" w:rsidR="00E75539" w:rsidRPr="006B2077" w:rsidRDefault="006B2077" w:rsidP="00E51428">
            <w:pPr>
              <w:pStyle w:val="Titre1"/>
              <w:rPr>
                <w:rFonts w:cs="Arial"/>
                <w:b w:val="0"/>
              </w:rPr>
            </w:pPr>
            <w:r w:rsidRPr="006B2077">
              <w:rPr>
                <w:rFonts w:cs="Arial"/>
                <w:b w:val="0"/>
              </w:rPr>
              <w:t>Chargé de suivi de performance énergétique et exploitation</w:t>
            </w:r>
            <w:r w:rsidR="00A86D84" w:rsidRPr="006B2077">
              <w:rPr>
                <w:rFonts w:cs="Arial"/>
                <w:b w:val="0"/>
              </w:rPr>
              <w:t> </w:t>
            </w:r>
          </w:p>
          <w:p w14:paraId="1E66E0B3" w14:textId="4BF67D27" w:rsidR="006B2077" w:rsidRPr="006B2077" w:rsidRDefault="006B2077" w:rsidP="006B2077">
            <w:pPr>
              <w:rPr>
                <w:rFonts w:ascii="Arial" w:hAnsi="Arial" w:cs="Arial"/>
              </w:rPr>
            </w:pPr>
          </w:p>
        </w:tc>
      </w:tr>
      <w:tr w:rsidR="006B2077" w:rsidRPr="006B2077" w14:paraId="5C932136" w14:textId="77777777" w:rsidTr="00D75112">
        <w:trPr>
          <w:trHeight w:val="1229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8DF20" w14:textId="77777777" w:rsidR="00E75539" w:rsidRPr="006B2077" w:rsidRDefault="00E75539" w:rsidP="00D75112">
            <w:pPr>
              <w:rPr>
                <w:rFonts w:ascii="Arial" w:hAnsi="Arial" w:cs="Arial"/>
                <w:sz w:val="20"/>
                <w:szCs w:val="18"/>
              </w:rPr>
            </w:pPr>
            <w:smartTag w:uri="schemas-ifinger-com/smarttag" w:element="data">
              <w:smartTagPr>
                <w:attr w:name="LANGUAGE" w:val="0"/>
                <w:attr w:name="STARTPOS" w:val="1"/>
                <w:attr w:name="CONTEXT" w:val="Type d’organisme : ?Administration"/>
              </w:smartTagPr>
              <w:r w:rsidRPr="006B2077">
                <w:rPr>
                  <w:rFonts w:ascii="Arial" w:hAnsi="Arial" w:cs="Arial"/>
                  <w:b/>
                  <w:bCs/>
                  <w:sz w:val="20"/>
                  <w:szCs w:val="18"/>
                </w:rPr>
                <w:t>Type</w:t>
              </w:r>
            </w:smartTag>
            <w:r w:rsidRPr="006B2077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d’organisme</w:t>
            </w:r>
            <w:r w:rsidRPr="006B2077">
              <w:rPr>
                <w:rFonts w:ascii="Arial" w:hAnsi="Arial" w:cs="Arial"/>
                <w:sz w:val="20"/>
                <w:szCs w:val="18"/>
              </w:rPr>
              <w:t xml:space="preserve"> : </w:t>
            </w:r>
            <w:r w:rsidRPr="006B2077">
              <w:rPr>
                <w:rFonts w:ascii="Arial" w:hAnsi="Arial" w:cs="Arial"/>
                <w:sz w:val="20"/>
                <w:szCs w:val="18"/>
              </w:rPr>
              <w:br/>
              <w:t>Société Publique Locale d’Efficacité Energétique</w:t>
            </w:r>
            <w:r w:rsidR="00CE7BA9" w:rsidRPr="006B2077">
              <w:rPr>
                <w:rFonts w:ascii="Arial" w:hAnsi="Arial" w:cs="Arial"/>
                <w:sz w:val="20"/>
                <w:szCs w:val="18"/>
              </w:rPr>
              <w:t xml:space="preserve"> – SPL OSER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4049A14" w14:textId="3BE0F7CD" w:rsidR="00CE7BA9" w:rsidRDefault="00CE7BA9" w:rsidP="00CE7BA9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6B2077">
              <w:rPr>
                <w:rFonts w:ascii="Arial" w:hAnsi="Arial" w:cs="Arial"/>
                <w:bCs/>
                <w:sz w:val="20"/>
                <w:szCs w:val="18"/>
              </w:rPr>
              <w:t xml:space="preserve">La SPL d’efficacité énergétique </w:t>
            </w:r>
            <w:r w:rsidR="00A86D84" w:rsidRPr="006B2077">
              <w:rPr>
                <w:rFonts w:ascii="Arial" w:hAnsi="Arial" w:cs="Arial"/>
                <w:bCs/>
                <w:sz w:val="20"/>
                <w:szCs w:val="18"/>
              </w:rPr>
              <w:t xml:space="preserve">– SPL OSER - </w:t>
            </w:r>
            <w:r w:rsidRPr="006B2077">
              <w:rPr>
                <w:rFonts w:ascii="Arial" w:hAnsi="Arial" w:cs="Arial"/>
                <w:bCs/>
                <w:sz w:val="20"/>
                <w:szCs w:val="18"/>
              </w:rPr>
              <w:t>intervient, pour les collectivités locales qui en sont actionnaires, dans le domaine de la r</w:t>
            </w:r>
            <w:r w:rsidR="00296F04" w:rsidRPr="006B2077">
              <w:rPr>
                <w:rFonts w:ascii="Arial" w:hAnsi="Arial" w:cs="Arial"/>
                <w:bCs/>
                <w:sz w:val="20"/>
                <w:szCs w:val="18"/>
              </w:rPr>
              <w:t>énovation des bâtiments publics avec</w:t>
            </w:r>
            <w:r w:rsidRPr="006B2077">
              <w:rPr>
                <w:rFonts w:ascii="Arial" w:hAnsi="Arial" w:cs="Arial"/>
                <w:bCs/>
                <w:sz w:val="20"/>
                <w:szCs w:val="18"/>
              </w:rPr>
              <w:t xml:space="preserve"> pour objectif de </w:t>
            </w:r>
            <w:r w:rsidR="00296F04" w:rsidRPr="006B2077">
              <w:rPr>
                <w:rFonts w:ascii="Arial" w:hAnsi="Arial" w:cs="Arial"/>
                <w:bCs/>
                <w:sz w:val="20"/>
                <w:szCs w:val="18"/>
              </w:rPr>
              <w:t>réduire</w:t>
            </w:r>
            <w:r w:rsidRPr="006B2077">
              <w:rPr>
                <w:rFonts w:ascii="Arial" w:hAnsi="Arial" w:cs="Arial"/>
                <w:bCs/>
                <w:sz w:val="20"/>
                <w:szCs w:val="18"/>
              </w:rPr>
              <w:t xml:space="preserve"> les</w:t>
            </w:r>
            <w:r w:rsidR="006B2077">
              <w:rPr>
                <w:rFonts w:ascii="Arial" w:hAnsi="Arial" w:cs="Arial"/>
                <w:bCs/>
                <w:sz w:val="20"/>
                <w:szCs w:val="18"/>
              </w:rPr>
              <w:t xml:space="preserve"> consommations et </w:t>
            </w:r>
            <w:r w:rsidRPr="006B2077">
              <w:rPr>
                <w:rFonts w:ascii="Arial" w:hAnsi="Arial" w:cs="Arial"/>
                <w:bCs/>
                <w:sz w:val="20"/>
                <w:szCs w:val="18"/>
              </w:rPr>
              <w:t>dépenses énergétiques des collectivités.</w:t>
            </w:r>
          </w:p>
          <w:p w14:paraId="408F3FFA" w14:textId="77777777" w:rsidR="006B2077" w:rsidRPr="006B2077" w:rsidRDefault="006B2077" w:rsidP="00CE7BA9">
            <w:pPr>
              <w:rPr>
                <w:rFonts w:ascii="Arial" w:hAnsi="Arial" w:cs="Arial"/>
                <w:bCs/>
                <w:sz w:val="20"/>
                <w:szCs w:val="18"/>
              </w:rPr>
            </w:pPr>
          </w:p>
          <w:p w14:paraId="2F97C7BC" w14:textId="77777777" w:rsidR="00A86D84" w:rsidRPr="006B2077" w:rsidRDefault="007C776D" w:rsidP="00B31DE5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6B2077">
              <w:rPr>
                <w:rFonts w:ascii="Arial" w:hAnsi="Arial" w:cs="Arial"/>
                <w:bCs/>
                <w:sz w:val="20"/>
                <w:szCs w:val="18"/>
              </w:rPr>
              <w:t xml:space="preserve">La Région </w:t>
            </w:r>
            <w:r w:rsidR="00CE7BA9" w:rsidRPr="006B2077">
              <w:rPr>
                <w:rFonts w:ascii="Arial" w:hAnsi="Arial" w:cs="Arial"/>
                <w:bCs/>
                <w:sz w:val="20"/>
                <w:szCs w:val="18"/>
              </w:rPr>
              <w:t>Auvergne-</w:t>
            </w:r>
            <w:r w:rsidRPr="006B2077">
              <w:rPr>
                <w:rFonts w:ascii="Arial" w:hAnsi="Arial" w:cs="Arial"/>
                <w:bCs/>
                <w:sz w:val="20"/>
                <w:szCs w:val="18"/>
              </w:rPr>
              <w:t xml:space="preserve">Rhône-Alpes est actionnaire majoritaire de la </w:t>
            </w:r>
            <w:r w:rsidR="00CE7BA9" w:rsidRPr="006B2077">
              <w:rPr>
                <w:rFonts w:ascii="Arial" w:hAnsi="Arial" w:cs="Arial"/>
                <w:bCs/>
                <w:sz w:val="20"/>
                <w:szCs w:val="18"/>
              </w:rPr>
              <w:t>société</w:t>
            </w:r>
            <w:r w:rsidR="00A86D84" w:rsidRPr="006B2077">
              <w:rPr>
                <w:rFonts w:ascii="Arial" w:hAnsi="Arial" w:cs="Arial"/>
                <w:bCs/>
                <w:sz w:val="20"/>
                <w:szCs w:val="18"/>
              </w:rPr>
              <w:t xml:space="preserve">, qui compte </w:t>
            </w:r>
            <w:r w:rsidR="008155EB" w:rsidRPr="006B2077">
              <w:rPr>
                <w:rFonts w:ascii="Arial" w:hAnsi="Arial" w:cs="Arial"/>
                <w:bCs/>
                <w:sz w:val="20"/>
                <w:szCs w:val="18"/>
              </w:rPr>
              <w:t xml:space="preserve">22 </w:t>
            </w:r>
            <w:r w:rsidR="00DD5804" w:rsidRPr="006B2077">
              <w:rPr>
                <w:rFonts w:ascii="Arial" w:hAnsi="Arial" w:cs="Arial"/>
                <w:bCs/>
                <w:sz w:val="20"/>
                <w:szCs w:val="18"/>
              </w:rPr>
              <w:t>actionnaires, dont 20 communes</w:t>
            </w:r>
            <w:r w:rsidR="00A86D84" w:rsidRPr="006B2077">
              <w:rPr>
                <w:rFonts w:ascii="Arial" w:hAnsi="Arial" w:cs="Arial"/>
                <w:bCs/>
                <w:sz w:val="20"/>
                <w:szCs w:val="18"/>
              </w:rPr>
              <w:t>.</w:t>
            </w:r>
          </w:p>
          <w:p w14:paraId="6CD6424C" w14:textId="77777777" w:rsidR="00A86D84" w:rsidRPr="006B2077" w:rsidRDefault="00A86D84" w:rsidP="00B31DE5">
            <w:pPr>
              <w:rPr>
                <w:rFonts w:ascii="Arial" w:hAnsi="Arial" w:cs="Arial"/>
                <w:bCs/>
                <w:sz w:val="20"/>
                <w:szCs w:val="18"/>
              </w:rPr>
            </w:pPr>
          </w:p>
          <w:p w14:paraId="72BA56FE" w14:textId="77777777" w:rsidR="004E430E" w:rsidRPr="006B2077" w:rsidRDefault="00A86D84" w:rsidP="004E430E">
            <w:pPr>
              <w:rPr>
                <w:rFonts w:ascii="Arial" w:hAnsi="Arial" w:cs="Arial"/>
                <w:sz w:val="20"/>
                <w:szCs w:val="18"/>
              </w:rPr>
            </w:pPr>
            <w:r w:rsidRPr="006B2077">
              <w:rPr>
                <w:rFonts w:ascii="Arial" w:hAnsi="Arial" w:cs="Arial"/>
                <w:bCs/>
                <w:sz w:val="20"/>
                <w:szCs w:val="18"/>
              </w:rPr>
              <w:t xml:space="preserve">La société </w:t>
            </w:r>
            <w:r w:rsidR="00B31DE5" w:rsidRPr="006B2077">
              <w:rPr>
                <w:rFonts w:ascii="Arial" w:hAnsi="Arial" w:cs="Arial"/>
                <w:bCs/>
                <w:sz w:val="20"/>
                <w:szCs w:val="18"/>
              </w:rPr>
              <w:t>réalise des opérations de rénovation globales ambitieuses atteignant le niveau BBC rénovation</w:t>
            </w:r>
            <w:r w:rsidRPr="006B2077">
              <w:rPr>
                <w:rFonts w:ascii="Arial" w:hAnsi="Arial" w:cs="Arial"/>
                <w:bCs/>
                <w:sz w:val="20"/>
                <w:szCs w:val="18"/>
              </w:rPr>
              <w:t xml:space="preserve"> avec engagement de performance</w:t>
            </w:r>
            <w:r w:rsidR="004E430E" w:rsidRPr="006B2077">
              <w:rPr>
                <w:rFonts w:ascii="Arial" w:hAnsi="Arial" w:cs="Arial"/>
                <w:bCs/>
                <w:sz w:val="20"/>
                <w:szCs w:val="18"/>
              </w:rPr>
              <w:t xml:space="preserve"> (marchés publics globaux de performance énergétique), principalement pour des bâtiments d’enseignement</w:t>
            </w:r>
            <w:r w:rsidRPr="006B2077">
              <w:rPr>
                <w:rFonts w:ascii="Arial" w:hAnsi="Arial" w:cs="Arial"/>
                <w:bCs/>
                <w:sz w:val="20"/>
                <w:szCs w:val="18"/>
              </w:rPr>
              <w:t>. Le développement croissant de l’activité nécessite la création d’un poste dédié au suivi de la phase exploitation</w:t>
            </w:r>
            <w:r w:rsidR="004E430E" w:rsidRPr="006B2077">
              <w:rPr>
                <w:rFonts w:ascii="Arial" w:hAnsi="Arial" w:cs="Arial"/>
                <w:bCs/>
                <w:sz w:val="20"/>
                <w:szCs w:val="18"/>
              </w:rPr>
              <w:t>, maintenance</w:t>
            </w:r>
            <w:r w:rsidR="004E430E" w:rsidRPr="006B2077">
              <w:rPr>
                <w:rFonts w:ascii="Arial" w:hAnsi="Arial" w:cs="Arial"/>
                <w:sz w:val="20"/>
                <w:szCs w:val="18"/>
              </w:rPr>
              <w:t xml:space="preserve"> et sensibilisation des usagers aux enjeux de performance énergétique.</w:t>
            </w:r>
          </w:p>
          <w:p w14:paraId="71A83200" w14:textId="77777777" w:rsidR="004E430E" w:rsidRPr="006B2077" w:rsidRDefault="004E430E" w:rsidP="004E430E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B2077" w:rsidRPr="006B2077" w14:paraId="12DC0B27" w14:textId="77777777" w:rsidTr="00D75112">
        <w:trPr>
          <w:trHeight w:val="120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6DEE29" w14:textId="77777777" w:rsidR="00E75539" w:rsidRPr="006B2077" w:rsidRDefault="00E75539" w:rsidP="00D75112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6B2077">
              <w:rPr>
                <w:rFonts w:ascii="Arial" w:hAnsi="Arial" w:cs="Arial"/>
                <w:b/>
                <w:sz w:val="20"/>
                <w:szCs w:val="18"/>
              </w:rPr>
              <w:t xml:space="preserve">Dimension </w:t>
            </w:r>
            <w:r w:rsidR="00CE7BA9" w:rsidRPr="006B2077">
              <w:rPr>
                <w:rFonts w:ascii="Arial" w:hAnsi="Arial" w:cs="Arial"/>
                <w:b/>
                <w:sz w:val="20"/>
                <w:szCs w:val="18"/>
              </w:rPr>
              <w:t>de la SPL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B5650B1" w14:textId="77777777" w:rsidR="004E430E" w:rsidRPr="006B2077" w:rsidRDefault="00FD0282" w:rsidP="00016BD1">
            <w:pPr>
              <w:rPr>
                <w:rFonts w:ascii="Arial" w:hAnsi="Arial" w:cs="Arial"/>
                <w:sz w:val="20"/>
                <w:szCs w:val="18"/>
              </w:rPr>
            </w:pPr>
            <w:r w:rsidRPr="006B2077">
              <w:rPr>
                <w:rFonts w:ascii="Arial" w:hAnsi="Arial" w:cs="Arial"/>
                <w:sz w:val="20"/>
                <w:szCs w:val="18"/>
              </w:rPr>
              <w:t>10</w:t>
            </w:r>
            <w:r w:rsidR="00CE7BA9" w:rsidRPr="006B207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E75539" w:rsidRPr="006B2077">
              <w:rPr>
                <w:rFonts w:ascii="Arial" w:hAnsi="Arial" w:cs="Arial"/>
                <w:sz w:val="20"/>
                <w:szCs w:val="18"/>
              </w:rPr>
              <w:t>salariés</w:t>
            </w:r>
            <w:r w:rsidR="00CE7BA9" w:rsidRPr="006B207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296F04" w:rsidRPr="006B2077">
              <w:rPr>
                <w:rFonts w:ascii="Arial" w:hAnsi="Arial" w:cs="Arial"/>
                <w:sz w:val="20"/>
                <w:szCs w:val="18"/>
              </w:rPr>
              <w:t>– Montant de dépenses sur opérations : 10 à 12 M€/an</w:t>
            </w:r>
            <w:r w:rsidR="00B31DE5" w:rsidRPr="006B2077">
              <w:rPr>
                <w:rFonts w:ascii="Arial" w:hAnsi="Arial" w:cs="Arial"/>
                <w:sz w:val="20"/>
                <w:szCs w:val="18"/>
              </w:rPr>
              <w:t xml:space="preserve"> sur les 3 dernières années</w:t>
            </w:r>
            <w:r w:rsidR="004E430E" w:rsidRPr="006B2077">
              <w:rPr>
                <w:rFonts w:ascii="Arial" w:hAnsi="Arial" w:cs="Arial"/>
                <w:sz w:val="20"/>
                <w:szCs w:val="18"/>
              </w:rPr>
              <w:t xml:space="preserve">. </w:t>
            </w:r>
          </w:p>
          <w:p w14:paraId="3962802D" w14:textId="77777777" w:rsidR="00E75539" w:rsidRPr="006B2077" w:rsidRDefault="004E430E" w:rsidP="00016BD1">
            <w:pPr>
              <w:rPr>
                <w:rFonts w:ascii="Arial" w:hAnsi="Arial" w:cs="Arial"/>
                <w:sz w:val="20"/>
                <w:szCs w:val="18"/>
              </w:rPr>
            </w:pPr>
            <w:r w:rsidRPr="006B2077">
              <w:rPr>
                <w:rFonts w:ascii="Arial" w:hAnsi="Arial" w:cs="Arial"/>
                <w:sz w:val="20"/>
                <w:szCs w:val="18"/>
              </w:rPr>
              <w:t>Nombre de bâtiments à suivre en phase exploitation : en croissance de 15 à 25 sur l’année 2019</w:t>
            </w:r>
          </w:p>
        </w:tc>
      </w:tr>
      <w:tr w:rsidR="006B2077" w:rsidRPr="006B2077" w14:paraId="1910B142" w14:textId="77777777" w:rsidTr="00D75112">
        <w:trPr>
          <w:trHeight w:val="120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4919D" w14:textId="77777777" w:rsidR="00E75539" w:rsidRPr="006B2077" w:rsidRDefault="00E75539" w:rsidP="00D75112">
            <w:pPr>
              <w:rPr>
                <w:rFonts w:ascii="Arial" w:hAnsi="Arial" w:cs="Arial"/>
                <w:sz w:val="20"/>
                <w:szCs w:val="18"/>
              </w:rPr>
            </w:pPr>
            <w:r w:rsidRPr="006B2077">
              <w:rPr>
                <w:rFonts w:ascii="Arial" w:hAnsi="Arial" w:cs="Arial"/>
                <w:b/>
                <w:bCs/>
                <w:sz w:val="20"/>
                <w:szCs w:val="18"/>
              </w:rPr>
              <w:t>Intitulé du poste</w:t>
            </w:r>
            <w:r w:rsidRPr="006B2077">
              <w:rPr>
                <w:rFonts w:ascii="Arial" w:hAnsi="Arial" w:cs="Arial"/>
                <w:sz w:val="20"/>
                <w:szCs w:val="18"/>
              </w:rPr>
              <w:t> 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A730196" w14:textId="3B60A406" w:rsidR="00E75539" w:rsidRPr="006B2077" w:rsidRDefault="006B2077" w:rsidP="00016BD1">
            <w:pPr>
              <w:rPr>
                <w:rFonts w:ascii="Arial" w:hAnsi="Arial" w:cs="Arial"/>
                <w:sz w:val="20"/>
                <w:szCs w:val="18"/>
              </w:rPr>
            </w:pPr>
            <w:r w:rsidRPr="006B2077">
              <w:rPr>
                <w:rFonts w:ascii="Arial" w:hAnsi="Arial" w:cs="Arial"/>
                <w:sz w:val="20"/>
                <w:szCs w:val="18"/>
              </w:rPr>
              <w:t>Chargé de suivi de performance énergétique et exploitation </w:t>
            </w:r>
          </w:p>
        </w:tc>
      </w:tr>
      <w:tr w:rsidR="006B2077" w:rsidRPr="006B2077" w14:paraId="7FCDCA0E" w14:textId="77777777" w:rsidTr="00D75112"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CFBAE" w14:textId="77777777" w:rsidR="00E75539" w:rsidRPr="006B2077" w:rsidRDefault="00E75539" w:rsidP="00D75112">
            <w:pPr>
              <w:pStyle w:val="Titre2"/>
              <w:rPr>
                <w:rFonts w:cs="Arial"/>
                <w:bCs/>
                <w:sz w:val="20"/>
                <w:szCs w:val="18"/>
              </w:rPr>
            </w:pPr>
            <w:r w:rsidRPr="006B2077">
              <w:rPr>
                <w:rFonts w:cs="Arial"/>
                <w:bCs/>
                <w:sz w:val="20"/>
                <w:szCs w:val="18"/>
              </w:rPr>
              <w:t xml:space="preserve">Supérieur hiérarchique direct 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0001FB8" w14:textId="05815020" w:rsidR="00E75539" w:rsidRPr="006B2077" w:rsidRDefault="006B2077" w:rsidP="00D75112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6B2077">
              <w:rPr>
                <w:rFonts w:ascii="Arial" w:hAnsi="Arial" w:cs="Arial"/>
                <w:sz w:val="20"/>
                <w:szCs w:val="18"/>
              </w:rPr>
              <w:t>Directeur général</w:t>
            </w:r>
          </w:p>
        </w:tc>
      </w:tr>
      <w:tr w:rsidR="006B2077" w:rsidRPr="006B2077" w14:paraId="4F6027B8" w14:textId="77777777" w:rsidTr="00D75112"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4CD70BA" w14:textId="77777777" w:rsidR="00E75539" w:rsidRPr="006B2077" w:rsidRDefault="00E75539" w:rsidP="00D75112">
            <w:pPr>
              <w:pStyle w:val="Titre2"/>
              <w:rPr>
                <w:rFonts w:cs="Arial"/>
                <w:bCs/>
                <w:sz w:val="20"/>
                <w:szCs w:val="18"/>
              </w:rPr>
            </w:pPr>
            <w:r w:rsidRPr="006B2077">
              <w:rPr>
                <w:rFonts w:cs="Arial"/>
                <w:bCs/>
                <w:sz w:val="20"/>
                <w:szCs w:val="18"/>
              </w:rPr>
              <w:t>Missions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6A49F1" w14:textId="2A5CA54C" w:rsidR="004E430E" w:rsidRDefault="004E430E" w:rsidP="004E430E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6B2077">
              <w:rPr>
                <w:rFonts w:ascii="Arial" w:hAnsi="Arial" w:cs="Arial"/>
                <w:bCs/>
                <w:sz w:val="20"/>
                <w:szCs w:val="18"/>
              </w:rPr>
              <w:t xml:space="preserve">Les </w:t>
            </w:r>
            <w:r w:rsidR="00BB25DA" w:rsidRPr="006B2077">
              <w:rPr>
                <w:rFonts w:ascii="Arial" w:hAnsi="Arial" w:cs="Arial"/>
                <w:bCs/>
                <w:sz w:val="20"/>
                <w:szCs w:val="18"/>
              </w:rPr>
              <w:t xml:space="preserve">missions portent sur le </w:t>
            </w:r>
            <w:r w:rsidRPr="006B2077">
              <w:rPr>
                <w:rFonts w:ascii="Arial" w:hAnsi="Arial" w:cs="Arial"/>
                <w:bCs/>
                <w:sz w:val="20"/>
                <w:szCs w:val="18"/>
              </w:rPr>
              <w:t>suivi de la phase exploitation </w:t>
            </w:r>
            <w:r w:rsidR="00BB25DA" w:rsidRPr="006B2077">
              <w:rPr>
                <w:rFonts w:ascii="Arial" w:hAnsi="Arial" w:cs="Arial"/>
                <w:bCs/>
                <w:sz w:val="20"/>
                <w:szCs w:val="18"/>
              </w:rPr>
              <w:t xml:space="preserve">des marchés globaux de performance énergétique </w:t>
            </w:r>
            <w:r w:rsidRPr="006B2077">
              <w:rPr>
                <w:rFonts w:ascii="Arial" w:hAnsi="Arial" w:cs="Arial"/>
                <w:bCs/>
                <w:sz w:val="20"/>
                <w:szCs w:val="18"/>
              </w:rPr>
              <w:t>avec :</w:t>
            </w:r>
          </w:p>
          <w:p w14:paraId="3F3E1546" w14:textId="77777777" w:rsidR="00FC4AA1" w:rsidRPr="006B2077" w:rsidRDefault="00FC4AA1" w:rsidP="004E430E">
            <w:pPr>
              <w:rPr>
                <w:rFonts w:ascii="Arial" w:hAnsi="Arial" w:cs="Arial"/>
                <w:bCs/>
                <w:sz w:val="20"/>
                <w:szCs w:val="18"/>
              </w:rPr>
            </w:pPr>
          </w:p>
          <w:p w14:paraId="10A36923" w14:textId="77777777" w:rsidR="00C80571" w:rsidRPr="006B2077" w:rsidRDefault="00C80571" w:rsidP="004E430E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18"/>
              </w:rPr>
            </w:pPr>
            <w:r w:rsidRPr="006B2077">
              <w:rPr>
                <w:rFonts w:ascii="Arial" w:hAnsi="Arial" w:cs="Arial"/>
                <w:bCs/>
                <w:sz w:val="20"/>
                <w:szCs w:val="18"/>
              </w:rPr>
              <w:t>Le suivi</w:t>
            </w:r>
            <w:r w:rsidR="00E1716E" w:rsidRPr="006B2077">
              <w:rPr>
                <w:rFonts w:ascii="Arial" w:hAnsi="Arial" w:cs="Arial"/>
                <w:bCs/>
                <w:sz w:val="20"/>
                <w:szCs w:val="18"/>
              </w:rPr>
              <w:t xml:space="preserve"> régulier</w:t>
            </w:r>
            <w:r w:rsidRPr="006B2077">
              <w:rPr>
                <w:rFonts w:ascii="Arial" w:hAnsi="Arial" w:cs="Arial"/>
                <w:bCs/>
                <w:sz w:val="20"/>
                <w:szCs w:val="18"/>
              </w:rPr>
              <w:t xml:space="preserve"> des consommations d’énergies et du niveau de confort des bâtiments rénovés en phase exploitation</w:t>
            </w:r>
          </w:p>
          <w:p w14:paraId="68051B3C" w14:textId="77777777" w:rsidR="004E430E" w:rsidRPr="006B2077" w:rsidRDefault="00BB25DA" w:rsidP="004E430E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18"/>
              </w:rPr>
            </w:pPr>
            <w:r w:rsidRPr="006B2077">
              <w:rPr>
                <w:rFonts w:ascii="Arial" w:hAnsi="Arial" w:cs="Arial"/>
                <w:bCs/>
                <w:sz w:val="20"/>
                <w:szCs w:val="18"/>
              </w:rPr>
              <w:t xml:space="preserve">La vérification de l’atteinte des objectifs de </w:t>
            </w:r>
            <w:r w:rsidR="004E430E" w:rsidRPr="006B2077">
              <w:rPr>
                <w:rFonts w:ascii="Arial" w:hAnsi="Arial" w:cs="Arial"/>
                <w:bCs/>
                <w:sz w:val="20"/>
                <w:szCs w:val="18"/>
              </w:rPr>
              <w:t>performance énergétique : réduction des c</w:t>
            </w:r>
            <w:bookmarkStart w:id="0" w:name="_GoBack"/>
            <w:bookmarkEnd w:id="0"/>
            <w:r w:rsidR="004E430E" w:rsidRPr="006B2077">
              <w:rPr>
                <w:rFonts w:ascii="Arial" w:hAnsi="Arial" w:cs="Arial"/>
                <w:bCs/>
                <w:sz w:val="20"/>
                <w:szCs w:val="18"/>
              </w:rPr>
              <w:t xml:space="preserve">onsommations d’énergie, </w:t>
            </w:r>
            <w:r w:rsidRPr="006B2077">
              <w:rPr>
                <w:rFonts w:ascii="Arial" w:hAnsi="Arial" w:cs="Arial"/>
                <w:bCs/>
                <w:sz w:val="20"/>
                <w:szCs w:val="18"/>
              </w:rPr>
              <w:t xml:space="preserve">vérification de la </w:t>
            </w:r>
            <w:r w:rsidR="004E430E" w:rsidRPr="006B2077">
              <w:rPr>
                <w:rFonts w:ascii="Arial" w:hAnsi="Arial" w:cs="Arial"/>
                <w:bCs/>
                <w:sz w:val="20"/>
                <w:szCs w:val="18"/>
              </w:rPr>
              <w:t>production d’ENR</w:t>
            </w:r>
            <w:r w:rsidRPr="006B2077">
              <w:rPr>
                <w:rFonts w:ascii="Arial" w:hAnsi="Arial" w:cs="Arial"/>
                <w:bCs/>
                <w:sz w:val="20"/>
                <w:szCs w:val="18"/>
              </w:rPr>
              <w:t xml:space="preserve"> et de la</w:t>
            </w:r>
            <w:r w:rsidR="004E430E" w:rsidRPr="006B2077">
              <w:rPr>
                <w:rFonts w:ascii="Arial" w:hAnsi="Arial" w:cs="Arial"/>
                <w:bCs/>
                <w:sz w:val="20"/>
                <w:szCs w:val="18"/>
              </w:rPr>
              <w:t xml:space="preserve"> réduction des émissions de GES ;</w:t>
            </w:r>
          </w:p>
          <w:p w14:paraId="26F2BD7E" w14:textId="4BC2EEE7" w:rsidR="004E430E" w:rsidRPr="006B2077" w:rsidRDefault="004E430E" w:rsidP="004E430E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18"/>
              </w:rPr>
            </w:pPr>
            <w:r w:rsidRPr="006B2077">
              <w:rPr>
                <w:rFonts w:ascii="Arial" w:hAnsi="Arial" w:cs="Arial"/>
                <w:bCs/>
                <w:sz w:val="20"/>
                <w:szCs w:val="18"/>
              </w:rPr>
              <w:t>Le suivi</w:t>
            </w:r>
            <w:r w:rsidR="00C80571" w:rsidRPr="006B2077">
              <w:rPr>
                <w:rFonts w:ascii="Arial" w:hAnsi="Arial" w:cs="Arial"/>
                <w:bCs/>
                <w:sz w:val="20"/>
                <w:szCs w:val="18"/>
              </w:rPr>
              <w:t xml:space="preserve"> cont</w:t>
            </w:r>
            <w:r w:rsidR="006B2077" w:rsidRPr="006B2077">
              <w:rPr>
                <w:rFonts w:ascii="Arial" w:hAnsi="Arial" w:cs="Arial"/>
                <w:bCs/>
                <w:sz w:val="20"/>
                <w:szCs w:val="18"/>
              </w:rPr>
              <w:t>r</w:t>
            </w:r>
            <w:r w:rsidR="00C80571" w:rsidRPr="006B2077">
              <w:rPr>
                <w:rFonts w:ascii="Arial" w:hAnsi="Arial" w:cs="Arial"/>
                <w:bCs/>
                <w:sz w:val="20"/>
                <w:szCs w:val="18"/>
              </w:rPr>
              <w:t>actuel</w:t>
            </w:r>
            <w:r w:rsidRPr="006B2077">
              <w:rPr>
                <w:rFonts w:ascii="Arial" w:hAnsi="Arial" w:cs="Arial"/>
                <w:bCs/>
                <w:sz w:val="20"/>
                <w:szCs w:val="18"/>
              </w:rPr>
              <w:t xml:space="preserve"> des clauses d’intéressement et de pénalisation ;</w:t>
            </w:r>
          </w:p>
          <w:p w14:paraId="495C4571" w14:textId="638DD39A" w:rsidR="004E430E" w:rsidRPr="006B2077" w:rsidRDefault="004E430E" w:rsidP="004E430E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18"/>
              </w:rPr>
            </w:pPr>
            <w:r w:rsidRPr="006B2077">
              <w:rPr>
                <w:rFonts w:ascii="Arial" w:hAnsi="Arial" w:cs="Arial"/>
                <w:bCs/>
                <w:sz w:val="20"/>
                <w:szCs w:val="18"/>
              </w:rPr>
              <w:t>Le suivi des prestations</w:t>
            </w:r>
            <w:r w:rsidR="00C80571" w:rsidRPr="006B2077">
              <w:rPr>
                <w:rFonts w:ascii="Arial" w:hAnsi="Arial" w:cs="Arial"/>
                <w:bCs/>
                <w:sz w:val="20"/>
                <w:szCs w:val="18"/>
              </w:rPr>
              <w:t xml:space="preserve"> de maintenance (P2/P3)</w:t>
            </w:r>
            <w:r w:rsidR="00FC4AA1">
              <w:rPr>
                <w:rFonts w:ascii="Arial" w:hAnsi="Arial" w:cs="Arial"/>
                <w:bCs/>
                <w:sz w:val="20"/>
                <w:szCs w:val="18"/>
              </w:rPr>
              <w:t> ;</w:t>
            </w:r>
          </w:p>
          <w:p w14:paraId="73E0E281" w14:textId="1928AD74" w:rsidR="00C80571" w:rsidRPr="006B2077" w:rsidRDefault="004E430E" w:rsidP="004E430E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18"/>
              </w:rPr>
            </w:pPr>
            <w:r w:rsidRPr="006B2077">
              <w:rPr>
                <w:rFonts w:ascii="Arial" w:hAnsi="Arial" w:cs="Arial"/>
                <w:bCs/>
                <w:sz w:val="20"/>
                <w:szCs w:val="18"/>
              </w:rPr>
              <w:t>Le traitement des demandes des utilisateurs du bâtiment</w:t>
            </w:r>
            <w:r w:rsidR="00FC4AA1">
              <w:rPr>
                <w:rFonts w:ascii="Arial" w:hAnsi="Arial" w:cs="Arial"/>
                <w:bCs/>
                <w:sz w:val="20"/>
                <w:szCs w:val="18"/>
              </w:rPr>
              <w:t> ;</w:t>
            </w:r>
          </w:p>
          <w:p w14:paraId="73FDFF4B" w14:textId="1BA6F1F3" w:rsidR="00113EC4" w:rsidRPr="00FC4AA1" w:rsidRDefault="00C80571" w:rsidP="00FC4AA1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18"/>
              </w:rPr>
            </w:pPr>
            <w:r w:rsidRPr="00FC4AA1">
              <w:rPr>
                <w:rFonts w:ascii="Arial" w:hAnsi="Arial" w:cs="Arial"/>
                <w:bCs/>
                <w:sz w:val="20"/>
                <w:szCs w:val="18"/>
              </w:rPr>
              <w:t>Le suivi de l’approvisionnement en bois (P1) ;</w:t>
            </w:r>
          </w:p>
          <w:p w14:paraId="6D1905BC" w14:textId="067EAD10" w:rsidR="00113EC4" w:rsidRPr="006B2077" w:rsidRDefault="00FC4AA1" w:rsidP="00113EC4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La c</w:t>
            </w:r>
            <w:r w:rsidR="00113EC4" w:rsidRPr="006B2077">
              <w:rPr>
                <w:rFonts w:ascii="Arial" w:hAnsi="Arial" w:cs="Arial"/>
                <w:bCs/>
                <w:sz w:val="20"/>
                <w:szCs w:val="18"/>
              </w:rPr>
              <w:t xml:space="preserve">apitalisation d’expériences, </w:t>
            </w:r>
            <w:r>
              <w:rPr>
                <w:rFonts w:ascii="Arial" w:hAnsi="Arial" w:cs="Arial"/>
                <w:bCs/>
                <w:sz w:val="20"/>
                <w:szCs w:val="18"/>
              </w:rPr>
              <w:t>l’</w:t>
            </w:r>
            <w:r w:rsidR="00113EC4" w:rsidRPr="006B2077">
              <w:rPr>
                <w:rFonts w:ascii="Arial" w:hAnsi="Arial" w:cs="Arial"/>
                <w:bCs/>
                <w:sz w:val="20"/>
                <w:szCs w:val="18"/>
              </w:rPr>
              <w:t>évaluation de l’efficacité des solutions techniques</w:t>
            </w:r>
            <w:r>
              <w:rPr>
                <w:rFonts w:ascii="Arial" w:hAnsi="Arial" w:cs="Arial"/>
                <w:bCs/>
                <w:sz w:val="20"/>
                <w:szCs w:val="18"/>
              </w:rPr>
              <w:t xml:space="preserve"> et des </w:t>
            </w:r>
            <w:r w:rsidR="00113EC4" w:rsidRPr="006B2077">
              <w:rPr>
                <w:rFonts w:ascii="Arial" w:hAnsi="Arial" w:cs="Arial"/>
                <w:bCs/>
                <w:sz w:val="20"/>
                <w:szCs w:val="18"/>
              </w:rPr>
              <w:t>pratiques mises en œuvre</w:t>
            </w:r>
            <w:r>
              <w:rPr>
                <w:rFonts w:ascii="Arial" w:hAnsi="Arial" w:cs="Arial"/>
                <w:bCs/>
                <w:sz w:val="20"/>
                <w:szCs w:val="18"/>
              </w:rPr>
              <w:t>.</w:t>
            </w:r>
          </w:p>
          <w:p w14:paraId="60FA8664" w14:textId="77777777" w:rsidR="00BB25DA" w:rsidRPr="006B2077" w:rsidRDefault="00BB25DA" w:rsidP="00BB25DA">
            <w:pPr>
              <w:pStyle w:val="Paragraphedeliste"/>
              <w:rPr>
                <w:rFonts w:ascii="Arial" w:hAnsi="Arial" w:cs="Arial"/>
                <w:bCs/>
                <w:sz w:val="20"/>
                <w:szCs w:val="18"/>
              </w:rPr>
            </w:pPr>
          </w:p>
          <w:p w14:paraId="0602843F" w14:textId="77777777" w:rsidR="00C80571" w:rsidRPr="006B2077" w:rsidRDefault="00BB25DA" w:rsidP="00BB25DA">
            <w:pPr>
              <w:pStyle w:val="Paragraphedeliste"/>
              <w:ind w:left="0"/>
              <w:rPr>
                <w:rFonts w:ascii="Arial" w:hAnsi="Arial" w:cs="Arial"/>
                <w:bCs/>
                <w:sz w:val="20"/>
                <w:szCs w:val="18"/>
              </w:rPr>
            </w:pPr>
            <w:r w:rsidRPr="006B2077">
              <w:rPr>
                <w:rFonts w:ascii="Arial" w:hAnsi="Arial" w:cs="Arial"/>
                <w:bCs/>
                <w:sz w:val="20"/>
                <w:szCs w:val="18"/>
              </w:rPr>
              <w:t xml:space="preserve">Les missions portent également sur le suivi des actions de sensibilisations des usagers </w:t>
            </w:r>
            <w:r w:rsidR="00C80571" w:rsidRPr="006B2077">
              <w:rPr>
                <w:rFonts w:ascii="Arial" w:hAnsi="Arial" w:cs="Arial"/>
                <w:bCs/>
                <w:sz w:val="20"/>
                <w:szCs w:val="18"/>
              </w:rPr>
              <w:t xml:space="preserve">pilotées et réalisées </w:t>
            </w:r>
            <w:r w:rsidRPr="006B2077">
              <w:rPr>
                <w:rFonts w:ascii="Arial" w:hAnsi="Arial" w:cs="Arial"/>
                <w:bCs/>
                <w:sz w:val="20"/>
                <w:szCs w:val="18"/>
              </w:rPr>
              <w:t>par le groupement titulaire du marché global de performance énergétique.</w:t>
            </w:r>
          </w:p>
          <w:p w14:paraId="6238B8A4" w14:textId="77777777" w:rsidR="00FD0282" w:rsidRPr="006B2077" w:rsidRDefault="00FD0282" w:rsidP="00B31DE5">
            <w:pPr>
              <w:rPr>
                <w:rFonts w:ascii="Arial" w:hAnsi="Arial" w:cs="Arial"/>
                <w:bCs/>
                <w:sz w:val="20"/>
                <w:szCs w:val="18"/>
              </w:rPr>
            </w:pPr>
          </w:p>
          <w:p w14:paraId="5D5F4ABD" w14:textId="77777777" w:rsidR="00296F04" w:rsidRDefault="00FD0372" w:rsidP="00B31DE5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6B2077">
              <w:rPr>
                <w:rFonts w:ascii="Arial" w:hAnsi="Arial" w:cs="Arial"/>
                <w:bCs/>
                <w:sz w:val="20"/>
                <w:szCs w:val="18"/>
              </w:rPr>
              <w:t xml:space="preserve">Les opérations </w:t>
            </w:r>
            <w:r w:rsidR="00C3794F" w:rsidRPr="006B2077">
              <w:rPr>
                <w:rFonts w:ascii="Arial" w:hAnsi="Arial" w:cs="Arial"/>
                <w:bCs/>
                <w:sz w:val="20"/>
                <w:szCs w:val="18"/>
              </w:rPr>
              <w:t>concernent le périmètre de la Région et nécessitent des déplacements</w:t>
            </w:r>
            <w:r w:rsidR="00D010BE" w:rsidRPr="006B2077">
              <w:rPr>
                <w:rFonts w:ascii="Arial" w:hAnsi="Arial" w:cs="Arial"/>
                <w:bCs/>
                <w:sz w:val="20"/>
                <w:szCs w:val="18"/>
              </w:rPr>
              <w:t xml:space="preserve"> auprès des collectivités et sur les </w:t>
            </w:r>
            <w:r w:rsidR="00BB25DA" w:rsidRPr="006B2077">
              <w:rPr>
                <w:rFonts w:ascii="Arial" w:hAnsi="Arial" w:cs="Arial"/>
                <w:bCs/>
                <w:sz w:val="20"/>
                <w:szCs w:val="18"/>
              </w:rPr>
              <w:t xml:space="preserve">sites </w:t>
            </w:r>
            <w:r w:rsidR="00C80571" w:rsidRPr="006B2077">
              <w:rPr>
                <w:rFonts w:ascii="Arial" w:hAnsi="Arial" w:cs="Arial"/>
                <w:bCs/>
                <w:sz w:val="20"/>
                <w:szCs w:val="18"/>
              </w:rPr>
              <w:t xml:space="preserve">des </w:t>
            </w:r>
            <w:r w:rsidR="00FD0282" w:rsidRPr="006B2077">
              <w:rPr>
                <w:rFonts w:ascii="Arial" w:hAnsi="Arial" w:cs="Arial"/>
                <w:bCs/>
                <w:sz w:val="20"/>
                <w:szCs w:val="18"/>
              </w:rPr>
              <w:t>bâtiments rénovés</w:t>
            </w:r>
            <w:r w:rsidR="00D010BE" w:rsidRPr="006B2077">
              <w:rPr>
                <w:rFonts w:ascii="Arial" w:hAnsi="Arial" w:cs="Arial"/>
                <w:bCs/>
                <w:sz w:val="20"/>
                <w:szCs w:val="18"/>
              </w:rPr>
              <w:t>.</w:t>
            </w:r>
          </w:p>
          <w:p w14:paraId="35105A2C" w14:textId="44C1E447" w:rsidR="00FC4AA1" w:rsidRPr="006B2077" w:rsidRDefault="00FC4AA1" w:rsidP="00B31DE5">
            <w:pPr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6B2077" w:rsidRPr="006B2077" w14:paraId="20C73226" w14:textId="77777777" w:rsidTr="00D75112">
        <w:trPr>
          <w:cantSplit/>
        </w:trPr>
        <w:tc>
          <w:tcPr>
            <w:tcW w:w="942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6E0A09A" w14:textId="77777777" w:rsidR="00E75539" w:rsidRPr="006B2077" w:rsidRDefault="008A00A8" w:rsidP="00D75112">
            <w:pPr>
              <w:pStyle w:val="Titre2"/>
              <w:rPr>
                <w:rFonts w:cs="Arial"/>
                <w:b w:val="0"/>
                <w:bCs/>
                <w:sz w:val="20"/>
                <w:szCs w:val="18"/>
              </w:rPr>
            </w:pPr>
            <w:r w:rsidRPr="006B2077">
              <w:rPr>
                <w:rFonts w:cs="Arial"/>
                <w:sz w:val="20"/>
                <w:szCs w:val="18"/>
              </w:rPr>
              <w:t>Profil</w:t>
            </w:r>
          </w:p>
          <w:p w14:paraId="627DF6DB" w14:textId="77777777" w:rsidR="00E75539" w:rsidRPr="006B2077" w:rsidRDefault="00016BD1" w:rsidP="00E51428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6B2077">
              <w:rPr>
                <w:rFonts w:ascii="Arial" w:hAnsi="Arial" w:cs="Arial"/>
                <w:bCs/>
                <w:sz w:val="20"/>
                <w:szCs w:val="18"/>
              </w:rPr>
              <w:t>Formation initiale</w:t>
            </w:r>
            <w:r w:rsidR="00FD0372" w:rsidRPr="006B2077">
              <w:rPr>
                <w:rFonts w:ascii="Arial" w:hAnsi="Arial" w:cs="Arial"/>
                <w:bCs/>
                <w:sz w:val="20"/>
                <w:szCs w:val="18"/>
              </w:rPr>
              <w:t xml:space="preserve"> : </w:t>
            </w:r>
            <w:r w:rsidR="00EE2ADD" w:rsidRPr="006B2077">
              <w:rPr>
                <w:rFonts w:ascii="Arial" w:hAnsi="Arial" w:cs="Arial"/>
                <w:bCs/>
                <w:sz w:val="20"/>
                <w:szCs w:val="18"/>
              </w:rPr>
              <w:t>bac+2 minimum</w:t>
            </w:r>
            <w:r w:rsidR="00C3794F" w:rsidRPr="006B2077">
              <w:rPr>
                <w:rFonts w:ascii="Arial" w:hAnsi="Arial" w:cs="Arial"/>
                <w:bCs/>
                <w:sz w:val="20"/>
                <w:szCs w:val="18"/>
              </w:rPr>
              <w:t xml:space="preserve"> dans le domaine du bâtiment</w:t>
            </w:r>
            <w:r w:rsidR="00EE2ADD" w:rsidRPr="006B2077">
              <w:rPr>
                <w:rFonts w:ascii="Arial" w:hAnsi="Arial" w:cs="Arial"/>
                <w:bCs/>
                <w:sz w:val="20"/>
                <w:szCs w:val="18"/>
              </w:rPr>
              <w:t xml:space="preserve"> avec une spécialisation énergétique.</w:t>
            </w:r>
          </w:p>
          <w:p w14:paraId="15741145" w14:textId="77777777" w:rsidR="00E51428" w:rsidRPr="006B2077" w:rsidRDefault="00E51428" w:rsidP="00E51428">
            <w:pPr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6B2077" w:rsidRPr="006B2077" w14:paraId="314BA380" w14:textId="77777777" w:rsidTr="00D75112">
        <w:trPr>
          <w:cantSplit/>
        </w:trPr>
        <w:tc>
          <w:tcPr>
            <w:tcW w:w="942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4DBAA7B" w14:textId="77777777" w:rsidR="00942E2B" w:rsidRPr="006B2077" w:rsidRDefault="00E75539" w:rsidP="00D75112">
            <w:pPr>
              <w:pStyle w:val="Titre2"/>
              <w:rPr>
                <w:rFonts w:cs="Arial"/>
                <w:sz w:val="20"/>
                <w:szCs w:val="18"/>
              </w:rPr>
            </w:pPr>
            <w:r w:rsidRPr="006B2077">
              <w:rPr>
                <w:rFonts w:cs="Arial"/>
                <w:sz w:val="20"/>
                <w:szCs w:val="18"/>
              </w:rPr>
              <w:t>Qualités professionnelles</w:t>
            </w:r>
          </w:p>
          <w:p w14:paraId="4A27FFE2" w14:textId="77777777" w:rsidR="00E75539" w:rsidRPr="006B2077" w:rsidRDefault="007C33B9" w:rsidP="00FD0282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6B2077">
              <w:rPr>
                <w:rFonts w:ascii="Arial" w:hAnsi="Arial" w:cs="Arial"/>
                <w:bCs/>
                <w:sz w:val="20"/>
                <w:szCs w:val="18"/>
              </w:rPr>
              <w:t>- Maîtrise de la performance énergétique appliquée au bâtiment</w:t>
            </w:r>
            <w:r w:rsidR="00B759B9" w:rsidRPr="006B2077">
              <w:rPr>
                <w:rFonts w:ascii="Arial" w:hAnsi="Arial" w:cs="Arial"/>
                <w:bCs/>
                <w:sz w:val="20"/>
                <w:szCs w:val="18"/>
              </w:rPr>
              <w:t> ;</w:t>
            </w:r>
          </w:p>
          <w:p w14:paraId="7B905AB6" w14:textId="2BC3116C" w:rsidR="00EE2ADD" w:rsidRPr="006B2077" w:rsidRDefault="00EE2ADD" w:rsidP="00EE2A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6B2077">
              <w:rPr>
                <w:rFonts w:ascii="Arial" w:hAnsi="Arial" w:cs="Arial"/>
                <w:bCs/>
                <w:sz w:val="20"/>
                <w:szCs w:val="18"/>
              </w:rPr>
              <w:t>- Compétences et intérêt</w:t>
            </w:r>
            <w:r w:rsidR="00B759B9" w:rsidRPr="006B2077">
              <w:rPr>
                <w:rFonts w:ascii="Arial" w:hAnsi="Arial" w:cs="Arial"/>
                <w:bCs/>
                <w:sz w:val="20"/>
                <w:szCs w:val="18"/>
              </w:rPr>
              <w:t xml:space="preserve"> à la fois </w:t>
            </w:r>
            <w:r w:rsidRPr="006B2077">
              <w:rPr>
                <w:rFonts w:ascii="Arial" w:hAnsi="Arial" w:cs="Arial"/>
                <w:bCs/>
                <w:sz w:val="20"/>
                <w:szCs w:val="18"/>
              </w:rPr>
              <w:t>pour des sujets technique</w:t>
            </w:r>
            <w:r w:rsidR="00BB25DA" w:rsidRPr="006B2077">
              <w:rPr>
                <w:rFonts w:ascii="Arial" w:hAnsi="Arial" w:cs="Arial"/>
                <w:bCs/>
                <w:sz w:val="20"/>
                <w:szCs w:val="18"/>
              </w:rPr>
              <w:t>s</w:t>
            </w:r>
            <w:r w:rsidR="00B759B9" w:rsidRPr="006B2077">
              <w:rPr>
                <w:rFonts w:ascii="Arial" w:hAnsi="Arial" w:cs="Arial"/>
                <w:bCs/>
                <w:sz w:val="20"/>
                <w:szCs w:val="18"/>
              </w:rPr>
              <w:t xml:space="preserve"> et pour les relations avec des acteurs divers (Proviseurs, directeurs d’écoles,</w:t>
            </w:r>
            <w:r w:rsidR="0004247C" w:rsidRPr="006B2077">
              <w:rPr>
                <w:rFonts w:ascii="Arial" w:hAnsi="Arial" w:cs="Arial"/>
                <w:bCs/>
                <w:sz w:val="20"/>
                <w:szCs w:val="18"/>
              </w:rPr>
              <w:t xml:space="preserve"> instituteurs, </w:t>
            </w:r>
            <w:r w:rsidR="00B759B9" w:rsidRPr="006B2077">
              <w:rPr>
                <w:rFonts w:ascii="Arial" w:hAnsi="Arial" w:cs="Arial"/>
                <w:bCs/>
                <w:sz w:val="20"/>
                <w:szCs w:val="18"/>
              </w:rPr>
              <w:t>gestionnaires, exploitants, représentants des services des collectivités, intervenants spécialisé</w:t>
            </w:r>
            <w:r w:rsidR="0004247C" w:rsidRPr="006B2077">
              <w:rPr>
                <w:rFonts w:ascii="Arial" w:hAnsi="Arial" w:cs="Arial"/>
                <w:bCs/>
                <w:sz w:val="20"/>
                <w:szCs w:val="18"/>
              </w:rPr>
              <w:t>s</w:t>
            </w:r>
            <w:r w:rsidR="00B759B9" w:rsidRPr="006B2077">
              <w:rPr>
                <w:rFonts w:ascii="Arial" w:hAnsi="Arial" w:cs="Arial"/>
                <w:bCs/>
                <w:sz w:val="20"/>
                <w:szCs w:val="18"/>
              </w:rPr>
              <w:t xml:space="preserve"> sur la sensibilisation…)</w:t>
            </w:r>
          </w:p>
          <w:p w14:paraId="6BF5019C" w14:textId="77777777" w:rsidR="00EE2ADD" w:rsidRPr="006B2077" w:rsidRDefault="00EE2ADD" w:rsidP="007C33B9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B2077" w:rsidRPr="006B2077" w14:paraId="5ECC481B" w14:textId="77777777" w:rsidTr="00D75112">
        <w:trPr>
          <w:cantSplit/>
        </w:trPr>
        <w:tc>
          <w:tcPr>
            <w:tcW w:w="942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DCC39A5" w14:textId="77777777" w:rsidR="00E75539" w:rsidRPr="006B2077" w:rsidRDefault="00C17A78" w:rsidP="00016BD1">
            <w:pPr>
              <w:pStyle w:val="Titre2"/>
              <w:rPr>
                <w:rFonts w:cs="Arial"/>
                <w:sz w:val="20"/>
                <w:szCs w:val="18"/>
              </w:rPr>
            </w:pPr>
            <w:r w:rsidRPr="006B2077">
              <w:rPr>
                <w:rFonts w:cs="Arial"/>
                <w:sz w:val="20"/>
                <w:szCs w:val="18"/>
              </w:rPr>
              <w:t xml:space="preserve">Rémunération : </w:t>
            </w:r>
            <w:r w:rsidR="00016BD1" w:rsidRPr="006B2077">
              <w:rPr>
                <w:rFonts w:cs="Arial"/>
                <w:b w:val="0"/>
                <w:sz w:val="20"/>
                <w:szCs w:val="18"/>
              </w:rPr>
              <w:t>selon expérience et qualifications</w:t>
            </w:r>
          </w:p>
        </w:tc>
      </w:tr>
      <w:tr w:rsidR="006B2077" w:rsidRPr="006B2077" w14:paraId="6AB3A0E3" w14:textId="77777777" w:rsidTr="00D75112">
        <w:trPr>
          <w:cantSplit/>
        </w:trPr>
        <w:tc>
          <w:tcPr>
            <w:tcW w:w="9426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7137E" w14:textId="77777777" w:rsidR="00521088" w:rsidRPr="006B2077" w:rsidRDefault="00521088" w:rsidP="00E51428">
            <w:pPr>
              <w:pStyle w:val="Titre2"/>
              <w:rPr>
                <w:rFonts w:cs="Arial"/>
                <w:sz w:val="20"/>
                <w:szCs w:val="18"/>
              </w:rPr>
            </w:pPr>
            <w:r w:rsidRPr="006B2077">
              <w:rPr>
                <w:rFonts w:cs="Arial"/>
                <w:sz w:val="20"/>
                <w:szCs w:val="18"/>
              </w:rPr>
              <w:t>Statut : Salarié(e) en CDI</w:t>
            </w:r>
            <w:r w:rsidR="00E51428" w:rsidRPr="006B2077">
              <w:rPr>
                <w:rFonts w:cs="Arial"/>
                <w:sz w:val="20"/>
                <w:szCs w:val="18"/>
              </w:rPr>
              <w:t xml:space="preserve"> à</w:t>
            </w:r>
            <w:r w:rsidR="00121E2E" w:rsidRPr="006B2077">
              <w:rPr>
                <w:rFonts w:cs="Arial"/>
                <w:sz w:val="20"/>
                <w:szCs w:val="18"/>
              </w:rPr>
              <w:t xml:space="preserve"> temps plein</w:t>
            </w:r>
            <w:r w:rsidRPr="006B2077">
              <w:rPr>
                <w:rFonts w:cs="Arial"/>
                <w:sz w:val="20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r w:rsidRPr="006B2077">
              <w:rPr>
                <w:rFonts w:cs="Arial"/>
                <w:b w:val="0"/>
                <w:sz w:val="20"/>
                <w:szCs w:val="18"/>
              </w:rPr>
              <w:t>Localisation des bureaux : Grenoble, 5 rue Eugène Faure</w:t>
            </w:r>
          </w:p>
        </w:tc>
      </w:tr>
      <w:tr w:rsidR="006B2077" w:rsidRPr="006B2077" w14:paraId="5A45DC00" w14:textId="77777777" w:rsidTr="00D75112">
        <w:trPr>
          <w:cantSplit/>
        </w:trPr>
        <w:tc>
          <w:tcPr>
            <w:tcW w:w="9426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83015AF" w14:textId="77777777" w:rsidR="00521088" w:rsidRPr="006B2077" w:rsidRDefault="00521088" w:rsidP="007C33B9">
            <w:pPr>
              <w:pStyle w:val="Titre2"/>
              <w:rPr>
                <w:rFonts w:cs="Arial"/>
                <w:b w:val="0"/>
                <w:sz w:val="20"/>
                <w:szCs w:val="18"/>
              </w:rPr>
            </w:pPr>
            <w:r w:rsidRPr="006B2077">
              <w:rPr>
                <w:rFonts w:cs="Arial"/>
                <w:sz w:val="20"/>
                <w:szCs w:val="18"/>
              </w:rPr>
              <w:t xml:space="preserve">Candidatures à envoyer à : </w:t>
            </w:r>
            <w:hyperlink r:id="rId8" w:history="1">
              <w:r w:rsidR="00EE2ADD" w:rsidRPr="006B2077">
                <w:rPr>
                  <w:rStyle w:val="Lienhypertexte"/>
                  <w:rFonts w:cs="Arial"/>
                  <w:b w:val="0"/>
                  <w:color w:val="auto"/>
                  <w:sz w:val="20"/>
                  <w:szCs w:val="18"/>
                </w:rPr>
                <w:t>contacts.spl@spl-oser.fr</w:t>
              </w:r>
            </w:hyperlink>
          </w:p>
          <w:p w14:paraId="37BC9FA9" w14:textId="77777777" w:rsidR="00EE2ADD" w:rsidRPr="006B2077" w:rsidRDefault="00EE2ADD" w:rsidP="00EE2ADD">
            <w:pPr>
              <w:rPr>
                <w:rFonts w:ascii="Arial" w:hAnsi="Arial" w:cs="Arial"/>
              </w:rPr>
            </w:pPr>
          </w:p>
        </w:tc>
      </w:tr>
    </w:tbl>
    <w:p w14:paraId="4515E263" w14:textId="77777777" w:rsidR="000702AB" w:rsidRPr="006B2077" w:rsidRDefault="000702AB" w:rsidP="00D75112">
      <w:pPr>
        <w:ind w:right="113"/>
        <w:rPr>
          <w:rFonts w:ascii="Arial" w:hAnsi="Arial" w:cs="Arial"/>
          <w:sz w:val="20"/>
          <w:szCs w:val="18"/>
        </w:rPr>
      </w:pPr>
    </w:p>
    <w:sectPr w:rsidR="000702AB" w:rsidRPr="006B2077" w:rsidSect="00D75112">
      <w:pgSz w:w="11906" w:h="16838"/>
      <w:pgMar w:top="284" w:right="849" w:bottom="851" w:left="1417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5A701" w14:textId="77777777" w:rsidR="00F36CCD" w:rsidRDefault="00F36CCD">
      <w:r>
        <w:separator/>
      </w:r>
    </w:p>
  </w:endnote>
  <w:endnote w:type="continuationSeparator" w:id="0">
    <w:p w14:paraId="48A65E39" w14:textId="77777777" w:rsidR="00F36CCD" w:rsidRDefault="00F3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187F3" w14:textId="77777777" w:rsidR="00F36CCD" w:rsidRDefault="00F36CCD">
      <w:r>
        <w:separator/>
      </w:r>
    </w:p>
  </w:footnote>
  <w:footnote w:type="continuationSeparator" w:id="0">
    <w:p w14:paraId="4A0D397C" w14:textId="77777777" w:rsidR="00F36CCD" w:rsidRDefault="00F36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96AD1"/>
    <w:multiLevelType w:val="hybridMultilevel"/>
    <w:tmpl w:val="5B52E268"/>
    <w:lvl w:ilvl="0" w:tplc="C0C260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6C2D"/>
    <w:multiLevelType w:val="hybridMultilevel"/>
    <w:tmpl w:val="84AAD40A"/>
    <w:lvl w:ilvl="0" w:tplc="C1489A8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3511F"/>
    <w:multiLevelType w:val="hybridMultilevel"/>
    <w:tmpl w:val="ACE087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221FF"/>
    <w:multiLevelType w:val="hybridMultilevel"/>
    <w:tmpl w:val="C9F8CE5A"/>
    <w:lvl w:ilvl="0" w:tplc="D8ACFFC0">
      <w:start w:val="1"/>
      <w:numFmt w:val="bullet"/>
      <w:lvlText w:val=""/>
      <w:lvlJc w:val="left"/>
      <w:pPr>
        <w:tabs>
          <w:tab w:val="num" w:pos="-252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FA10A6"/>
    <w:multiLevelType w:val="multilevel"/>
    <w:tmpl w:val="C73C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A1357F"/>
    <w:multiLevelType w:val="hybridMultilevel"/>
    <w:tmpl w:val="ECC8520E"/>
    <w:lvl w:ilvl="0" w:tplc="D8ACFFC0">
      <w:start w:val="1"/>
      <w:numFmt w:val="bullet"/>
      <w:lvlText w:val=""/>
      <w:lvlJc w:val="left"/>
      <w:pPr>
        <w:tabs>
          <w:tab w:val="num" w:pos="-216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52CD2"/>
    <w:multiLevelType w:val="multilevel"/>
    <w:tmpl w:val="683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5D1F9B"/>
    <w:multiLevelType w:val="hybridMultilevel"/>
    <w:tmpl w:val="931E90AA"/>
    <w:lvl w:ilvl="0" w:tplc="26561D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05AAC"/>
    <w:multiLevelType w:val="hybridMultilevel"/>
    <w:tmpl w:val="33B410F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3310B"/>
    <w:multiLevelType w:val="hybridMultilevel"/>
    <w:tmpl w:val="C5EEB260"/>
    <w:lvl w:ilvl="0" w:tplc="C4A685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12A46"/>
    <w:multiLevelType w:val="hybridMultilevel"/>
    <w:tmpl w:val="E542BEF2"/>
    <w:lvl w:ilvl="0" w:tplc="59E28DE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46"/>
    <w:rsid w:val="00016BD1"/>
    <w:rsid w:val="00030D20"/>
    <w:rsid w:val="0004247C"/>
    <w:rsid w:val="00061E88"/>
    <w:rsid w:val="000702AB"/>
    <w:rsid w:val="000D2982"/>
    <w:rsid w:val="000E726F"/>
    <w:rsid w:val="00101FCF"/>
    <w:rsid w:val="001121DD"/>
    <w:rsid w:val="00113EC4"/>
    <w:rsid w:val="00121E2E"/>
    <w:rsid w:val="00140A9B"/>
    <w:rsid w:val="00165D16"/>
    <w:rsid w:val="001B4DB8"/>
    <w:rsid w:val="001C77EB"/>
    <w:rsid w:val="00215C48"/>
    <w:rsid w:val="00262FEE"/>
    <w:rsid w:val="002637BC"/>
    <w:rsid w:val="00296F04"/>
    <w:rsid w:val="002E2CAA"/>
    <w:rsid w:val="00304598"/>
    <w:rsid w:val="0032114D"/>
    <w:rsid w:val="00321A1E"/>
    <w:rsid w:val="0034255A"/>
    <w:rsid w:val="003511A3"/>
    <w:rsid w:val="00373913"/>
    <w:rsid w:val="003A769D"/>
    <w:rsid w:val="003A7B63"/>
    <w:rsid w:val="003D7867"/>
    <w:rsid w:val="00402546"/>
    <w:rsid w:val="0041389E"/>
    <w:rsid w:val="00423871"/>
    <w:rsid w:val="00431DDE"/>
    <w:rsid w:val="00493311"/>
    <w:rsid w:val="004D6737"/>
    <w:rsid w:val="004E430E"/>
    <w:rsid w:val="004E723E"/>
    <w:rsid w:val="00506955"/>
    <w:rsid w:val="00521088"/>
    <w:rsid w:val="00534BAB"/>
    <w:rsid w:val="005721B5"/>
    <w:rsid w:val="00580DEB"/>
    <w:rsid w:val="005A337E"/>
    <w:rsid w:val="005D7C4C"/>
    <w:rsid w:val="005E4A7E"/>
    <w:rsid w:val="005E6CA3"/>
    <w:rsid w:val="005F4EDE"/>
    <w:rsid w:val="0061116C"/>
    <w:rsid w:val="00671772"/>
    <w:rsid w:val="006A120E"/>
    <w:rsid w:val="006A562A"/>
    <w:rsid w:val="006A5915"/>
    <w:rsid w:val="006B2077"/>
    <w:rsid w:val="006B6E9B"/>
    <w:rsid w:val="00710F7D"/>
    <w:rsid w:val="0072227A"/>
    <w:rsid w:val="00737A07"/>
    <w:rsid w:val="0074539B"/>
    <w:rsid w:val="0076522D"/>
    <w:rsid w:val="00766429"/>
    <w:rsid w:val="007C33B9"/>
    <w:rsid w:val="007C776D"/>
    <w:rsid w:val="007E751D"/>
    <w:rsid w:val="007F63E6"/>
    <w:rsid w:val="008008E1"/>
    <w:rsid w:val="00805B63"/>
    <w:rsid w:val="008155EB"/>
    <w:rsid w:val="008322FC"/>
    <w:rsid w:val="008A00A8"/>
    <w:rsid w:val="008A3F36"/>
    <w:rsid w:val="008B5D38"/>
    <w:rsid w:val="00907099"/>
    <w:rsid w:val="00942E2B"/>
    <w:rsid w:val="00974CBE"/>
    <w:rsid w:val="009755BF"/>
    <w:rsid w:val="009B351B"/>
    <w:rsid w:val="009E396F"/>
    <w:rsid w:val="00A261AC"/>
    <w:rsid w:val="00A33A1B"/>
    <w:rsid w:val="00A669C3"/>
    <w:rsid w:val="00A86D84"/>
    <w:rsid w:val="00AC7BE9"/>
    <w:rsid w:val="00B31DE5"/>
    <w:rsid w:val="00B4500D"/>
    <w:rsid w:val="00B462FB"/>
    <w:rsid w:val="00B51338"/>
    <w:rsid w:val="00B759B9"/>
    <w:rsid w:val="00BB094E"/>
    <w:rsid w:val="00BB25DA"/>
    <w:rsid w:val="00BD7DD2"/>
    <w:rsid w:val="00C006C6"/>
    <w:rsid w:val="00C114D9"/>
    <w:rsid w:val="00C17A78"/>
    <w:rsid w:val="00C27AA0"/>
    <w:rsid w:val="00C3794F"/>
    <w:rsid w:val="00C54359"/>
    <w:rsid w:val="00C70B7E"/>
    <w:rsid w:val="00C80571"/>
    <w:rsid w:val="00CE66D5"/>
    <w:rsid w:val="00CE7BA9"/>
    <w:rsid w:val="00CF3700"/>
    <w:rsid w:val="00D010BE"/>
    <w:rsid w:val="00D10B7D"/>
    <w:rsid w:val="00D429F5"/>
    <w:rsid w:val="00D75112"/>
    <w:rsid w:val="00D83469"/>
    <w:rsid w:val="00D962F6"/>
    <w:rsid w:val="00DD5804"/>
    <w:rsid w:val="00DF5D0E"/>
    <w:rsid w:val="00E029B3"/>
    <w:rsid w:val="00E1716E"/>
    <w:rsid w:val="00E34D68"/>
    <w:rsid w:val="00E51428"/>
    <w:rsid w:val="00E75539"/>
    <w:rsid w:val="00EB61DD"/>
    <w:rsid w:val="00ED52AE"/>
    <w:rsid w:val="00EE2ADD"/>
    <w:rsid w:val="00EE2B52"/>
    <w:rsid w:val="00F36CCD"/>
    <w:rsid w:val="00FA713A"/>
    <w:rsid w:val="00FC095D"/>
    <w:rsid w:val="00FC2DFD"/>
    <w:rsid w:val="00FC4AA1"/>
    <w:rsid w:val="00FD0282"/>
    <w:rsid w:val="00FD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ifinger-com/smarttag" w:url="http://download.ifinger.com/smarttag/ifsmart.dll" w:name="data"/>
  <w:shapeDefaults>
    <o:shapedefaults v:ext="edit" spidmax="2049"/>
    <o:shapelayout v:ext="edit">
      <o:idmap v:ext="edit" data="1"/>
    </o:shapelayout>
  </w:shapeDefaults>
  <w:decimalSymbol w:val="."/>
  <w:listSeparator w:val=";"/>
  <w14:docId w14:val="20939960"/>
  <w15:docId w15:val="{14EF5999-8BF7-4236-85C5-0EBDC30C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51B"/>
    <w:rPr>
      <w:sz w:val="24"/>
      <w:szCs w:val="24"/>
    </w:rPr>
  </w:style>
  <w:style w:type="paragraph" w:styleId="Titre1">
    <w:name w:val="heading 1"/>
    <w:basedOn w:val="Normal"/>
    <w:next w:val="Normal"/>
    <w:qFormat/>
    <w:rsid w:val="009B351B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itre2">
    <w:name w:val="heading 2"/>
    <w:basedOn w:val="Normal"/>
    <w:next w:val="Normal"/>
    <w:qFormat/>
    <w:rsid w:val="009B351B"/>
    <w:pPr>
      <w:keepNext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rsid w:val="00402546"/>
  </w:style>
  <w:style w:type="paragraph" w:customStyle="1" w:styleId="Socit">
    <w:name w:val="Société"/>
    <w:basedOn w:val="Signature"/>
    <w:rsid w:val="00402546"/>
  </w:style>
  <w:style w:type="paragraph" w:styleId="Corpsdetexte">
    <w:name w:val="Body Text"/>
    <w:basedOn w:val="Normal"/>
    <w:rsid w:val="00402546"/>
    <w:pPr>
      <w:spacing w:after="120"/>
    </w:pPr>
  </w:style>
  <w:style w:type="paragraph" w:styleId="NormalWeb">
    <w:name w:val="Normal (Web)"/>
    <w:basedOn w:val="Normal"/>
    <w:rsid w:val="009B351B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9B351B"/>
    <w:rPr>
      <w:b/>
      <w:bCs/>
    </w:rPr>
  </w:style>
  <w:style w:type="paragraph" w:styleId="En-tte">
    <w:name w:val="header"/>
    <w:basedOn w:val="Normal"/>
    <w:rsid w:val="00FC2DF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C2DFD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41389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E2ADD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171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716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716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71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716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1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6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s.spl@spl-oser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93270-7408-4099-BA7F-A1E091B5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</vt:lpstr>
    </vt:vector>
  </TitlesOfParts>
  <Company>RRA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</dc:title>
  <dc:creator>DCESE CUNY Vianney</dc:creator>
  <cp:lastModifiedBy>Yvette SHONG-GEU</cp:lastModifiedBy>
  <cp:revision>2</cp:revision>
  <cp:lastPrinted>2013-05-16T20:38:00Z</cp:lastPrinted>
  <dcterms:created xsi:type="dcterms:W3CDTF">2019-01-08T13:37:00Z</dcterms:created>
  <dcterms:modified xsi:type="dcterms:W3CDTF">2019-01-08T13:37:00Z</dcterms:modified>
</cp:coreProperties>
</file>